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Інформація для оприлюднення (ідентифікатор закупівлі</w:t>
      </w:r>
      <w:r w:rsidR="002253C4" w:rsidRPr="002253C4">
        <w:rPr>
          <w:rFonts w:ascii="Arial" w:hAnsi="Arial" w:cs="Arial"/>
          <w:color w:val="333333"/>
          <w:sz w:val="20"/>
          <w:szCs w:val="20"/>
          <w:shd w:val="clear" w:color="auto" w:fill="FFFFFF"/>
        </w:rPr>
        <w:t xml:space="preserve"> </w:t>
      </w:r>
      <w:r w:rsidR="00AA12A9">
        <w:rPr>
          <w:rFonts w:ascii="Arial" w:hAnsi="Arial" w:cs="Arial"/>
          <w:color w:val="333333"/>
          <w:sz w:val="20"/>
          <w:szCs w:val="20"/>
          <w:shd w:val="clear" w:color="auto" w:fill="FFFFFF"/>
        </w:rPr>
        <w:t>UA-2023-10-17-015180-a</w:t>
      </w:r>
      <w:r>
        <w:rPr>
          <w:rFonts w:ascii="Arial" w:hAnsi="Arial" w:cs="Arial"/>
          <w:color w:val="333333"/>
          <w:sz w:val="20"/>
          <w:szCs w:val="20"/>
          <w:shd w:val="clear" w:color="auto" w:fill="FFFFFF"/>
        </w:rPr>
        <w:t>)</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Pr="00AA12A9" w:rsidRDefault="007A28B4" w:rsidP="007A28B4">
      <w:pPr>
        <w:pStyle w:val="11"/>
        <w:shd w:val="clear" w:color="auto" w:fill="auto"/>
        <w:ind w:firstLine="0"/>
        <w:rPr>
          <w:bCs/>
          <w:sz w:val="24"/>
          <w:szCs w:val="24"/>
        </w:rPr>
      </w:pPr>
    </w:p>
    <w:p w:rsidR="002253C4" w:rsidRPr="00AA12A9" w:rsidRDefault="007A28B4" w:rsidP="002253C4">
      <w:pPr>
        <w:pStyle w:val="11"/>
        <w:shd w:val="clear" w:color="auto" w:fill="auto"/>
        <w:ind w:left="260"/>
        <w:rPr>
          <w:sz w:val="24"/>
          <w:szCs w:val="24"/>
          <w:bdr w:val="none" w:sz="0" w:space="0" w:color="auto" w:frame="1"/>
          <w:lang w:bidi="uk-UA"/>
        </w:rPr>
      </w:pPr>
      <w:r w:rsidRPr="00AA12A9">
        <w:rPr>
          <w:bCs/>
          <w:sz w:val="24"/>
          <w:szCs w:val="24"/>
        </w:rPr>
        <w:t>ДК 021:2015:</w:t>
      </w:r>
      <w:r w:rsidRPr="00AA12A9">
        <w:rPr>
          <w:rStyle w:val="a4"/>
          <w:sz w:val="24"/>
          <w:szCs w:val="24"/>
          <w:bdr w:val="none" w:sz="0" w:space="0" w:color="auto" w:frame="1"/>
          <w:shd w:val="clear" w:color="auto" w:fill="auto"/>
        </w:rPr>
        <w:t xml:space="preserve"> </w:t>
      </w:r>
      <w:r w:rsidRPr="00AA12A9">
        <w:rPr>
          <w:rStyle w:val="qaclassifiertype"/>
          <w:sz w:val="24"/>
          <w:szCs w:val="24"/>
          <w:bdr w:val="none" w:sz="0" w:space="0" w:color="auto" w:frame="1"/>
        </w:rPr>
        <w:t> </w:t>
      </w:r>
      <w:r w:rsidR="00AA12A9" w:rsidRPr="00AA12A9">
        <w:rPr>
          <w:rStyle w:val="qaclassifierdescrcode"/>
          <w:sz w:val="24"/>
          <w:szCs w:val="24"/>
          <w:bdr w:val="none" w:sz="0" w:space="0" w:color="auto" w:frame="1"/>
        </w:rPr>
        <w:t>31120000-3</w:t>
      </w:r>
      <w:r w:rsidR="00AA12A9" w:rsidRPr="00AA12A9">
        <w:rPr>
          <w:sz w:val="24"/>
          <w:szCs w:val="24"/>
        </w:rPr>
        <w:t> </w:t>
      </w:r>
      <w:r w:rsidR="00AA12A9" w:rsidRPr="00AA12A9">
        <w:rPr>
          <w:rStyle w:val="qaclassifierdescrprimary"/>
          <w:sz w:val="24"/>
          <w:szCs w:val="24"/>
          <w:bdr w:val="none" w:sz="0" w:space="0" w:color="auto" w:frame="1"/>
        </w:rPr>
        <w:t>Генератори</w:t>
      </w:r>
    </w:p>
    <w:p w:rsidR="007A28B4" w:rsidRPr="00AA12A9" w:rsidRDefault="007A28B4" w:rsidP="00B7256B">
      <w:pPr>
        <w:pStyle w:val="11"/>
        <w:numPr>
          <w:ilvl w:val="0"/>
          <w:numId w:val="1"/>
        </w:numPr>
        <w:shd w:val="clear" w:color="auto" w:fill="auto"/>
        <w:ind w:left="260"/>
        <w:rPr>
          <w:sz w:val="24"/>
          <w:szCs w:val="24"/>
        </w:rPr>
      </w:pPr>
      <w:r w:rsidRPr="00AA12A9">
        <w:rPr>
          <w:sz w:val="24"/>
          <w:szCs w:val="24"/>
        </w:rPr>
        <w:t xml:space="preserve">Найменування предмета закупівлі: </w:t>
      </w:r>
      <w:proofErr w:type="spellStart"/>
      <w:r w:rsidR="00AA12A9" w:rsidRPr="00AA12A9">
        <w:rPr>
          <w:sz w:val="24"/>
          <w:szCs w:val="24"/>
          <w:shd w:val="clear" w:color="auto" w:fill="FFFFFF"/>
        </w:rPr>
        <w:t>Електрогенераторні</w:t>
      </w:r>
      <w:proofErr w:type="spellEnd"/>
      <w:r w:rsidR="00AA12A9" w:rsidRPr="00AA12A9">
        <w:rPr>
          <w:sz w:val="24"/>
          <w:szCs w:val="24"/>
          <w:shd w:val="clear" w:color="auto" w:fill="FFFFFF"/>
        </w:rPr>
        <w:t xml:space="preserve"> установки (Генератори бензинові) для потреб місцевих загальних судів Київської </w:t>
      </w:r>
      <w:proofErr w:type="spellStart"/>
      <w:r w:rsidR="00AA12A9" w:rsidRPr="00AA12A9">
        <w:rPr>
          <w:sz w:val="24"/>
          <w:szCs w:val="24"/>
          <w:shd w:val="clear" w:color="auto" w:fill="FFFFFF"/>
        </w:rPr>
        <w:t>області</w:t>
      </w:r>
      <w:r w:rsidRPr="00AA12A9">
        <w:rPr>
          <w:sz w:val="24"/>
          <w:szCs w:val="24"/>
        </w:rPr>
        <w:t>Місце</w:t>
      </w:r>
      <w:proofErr w:type="spellEnd"/>
      <w:r w:rsidRPr="00AA12A9">
        <w:rPr>
          <w:sz w:val="24"/>
          <w:szCs w:val="24"/>
        </w:rPr>
        <w:t xml:space="preserve"> </w:t>
      </w:r>
      <w:r w:rsidR="002253C4" w:rsidRPr="00AA12A9">
        <w:rPr>
          <w:sz w:val="24"/>
          <w:szCs w:val="24"/>
        </w:rPr>
        <w:t>постачання товару</w:t>
      </w:r>
      <w:r w:rsidRPr="00AA12A9">
        <w:rPr>
          <w:sz w:val="24"/>
          <w:szCs w:val="24"/>
        </w:rPr>
        <w:t xml:space="preserve">: </w:t>
      </w:r>
      <w:r w:rsidR="00B7256B" w:rsidRPr="00AA12A9">
        <w:rPr>
          <w:sz w:val="24"/>
          <w:szCs w:val="24"/>
        </w:rPr>
        <w:t>Київськ</w:t>
      </w:r>
      <w:r w:rsidR="000B64BD" w:rsidRPr="00AA12A9">
        <w:rPr>
          <w:sz w:val="24"/>
          <w:szCs w:val="24"/>
        </w:rPr>
        <w:t xml:space="preserve">а область </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2253C4">
        <w:rPr>
          <w:sz w:val="24"/>
          <w:szCs w:val="24"/>
        </w:rPr>
        <w:t>товару</w:t>
      </w:r>
      <w:r w:rsidRPr="00DA539C">
        <w:rPr>
          <w:sz w:val="24"/>
          <w:szCs w:val="24"/>
        </w:rPr>
        <w:t xml:space="preserve">: </w:t>
      </w:r>
      <w:r w:rsidR="00AA12A9">
        <w:rPr>
          <w:rStyle w:val="qaitemquantity"/>
          <w:sz w:val="24"/>
          <w:szCs w:val="24"/>
          <w:bdr w:val="none" w:sz="0" w:space="0" w:color="auto" w:frame="1"/>
        </w:rPr>
        <w:t>26</w:t>
      </w:r>
      <w:r w:rsidR="0088191F">
        <w:rPr>
          <w:rStyle w:val="qaitemquantity"/>
          <w:sz w:val="24"/>
          <w:szCs w:val="24"/>
          <w:bdr w:val="none" w:sz="0" w:space="0" w:color="auto" w:frame="1"/>
        </w:rPr>
        <w:t xml:space="preserve"> </w:t>
      </w:r>
      <w:proofErr w:type="spellStart"/>
      <w:r w:rsidR="0088191F">
        <w:rPr>
          <w:rStyle w:val="qaitemquantity"/>
          <w:sz w:val="24"/>
          <w:szCs w:val="24"/>
          <w:bdr w:val="none" w:sz="0" w:space="0" w:color="auto" w:frame="1"/>
        </w:rPr>
        <w:t>шт</w:t>
      </w:r>
      <w:proofErr w:type="spellEnd"/>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2253C4">
        <w:rPr>
          <w:sz w:val="24"/>
          <w:szCs w:val="24"/>
        </w:rPr>
        <w:t>постачання товару</w:t>
      </w:r>
      <w:r w:rsidRPr="00DA539C">
        <w:rPr>
          <w:sz w:val="24"/>
          <w:szCs w:val="24"/>
        </w:rPr>
        <w:t>: До 31.</w:t>
      </w:r>
      <w:r w:rsidR="00B7256B" w:rsidRPr="00DA539C">
        <w:rPr>
          <w:sz w:val="24"/>
          <w:szCs w:val="24"/>
        </w:rPr>
        <w:t>12</w:t>
      </w:r>
      <w:r w:rsidRPr="00DA539C">
        <w:rPr>
          <w:sz w:val="24"/>
          <w:szCs w:val="24"/>
        </w:rPr>
        <w:t>.2023р.</w:t>
      </w:r>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 xml:space="preserve">Технічні, якісні характеристики предмета закупівлі повинні відповідати вимогам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7A28B4" w:rsidRPr="00DA539C" w:rsidRDefault="007A28B4" w:rsidP="007A28B4">
      <w:pPr>
        <w:pStyle w:val="11"/>
        <w:numPr>
          <w:ilvl w:val="0"/>
          <w:numId w:val="1"/>
        </w:numPr>
        <w:shd w:val="clear" w:color="auto" w:fill="auto"/>
        <w:tabs>
          <w:tab w:val="left" w:pos="570"/>
          <w:tab w:val="left" w:leader="underscore" w:pos="10430"/>
        </w:tabs>
        <w:ind w:left="260"/>
        <w:rPr>
          <w:sz w:val="24"/>
          <w:szCs w:val="24"/>
        </w:rPr>
      </w:pPr>
      <w:r w:rsidRPr="00DA539C">
        <w:rPr>
          <w:sz w:val="24"/>
          <w:szCs w:val="24"/>
        </w:rPr>
        <w:t xml:space="preserve">Очікувана вартість предмета закупівлі : </w:t>
      </w:r>
      <w:r w:rsidR="00AA12A9">
        <w:rPr>
          <w:sz w:val="24"/>
          <w:szCs w:val="24"/>
        </w:rPr>
        <w:t>2 380 000</w:t>
      </w:r>
      <w:r w:rsidRPr="00DA539C">
        <w:rPr>
          <w:sz w:val="24"/>
          <w:szCs w:val="24"/>
        </w:rPr>
        <w:t xml:space="preserve"> грн. </w:t>
      </w:r>
      <w:r w:rsidR="0088191F">
        <w:rPr>
          <w:sz w:val="24"/>
          <w:szCs w:val="24"/>
        </w:rPr>
        <w:t>00</w:t>
      </w:r>
      <w:r w:rsidRPr="00DA539C">
        <w:rPr>
          <w:sz w:val="24"/>
          <w:szCs w:val="24"/>
        </w:rPr>
        <w:t xml:space="preserve"> коп.</w:t>
      </w:r>
    </w:p>
    <w:p w:rsidR="00B7256B" w:rsidRDefault="00B7256B" w:rsidP="00B7256B"/>
    <w:p w:rsidR="00AA12A9" w:rsidRPr="00AA12A9" w:rsidRDefault="00AA12A9" w:rsidP="00AA12A9">
      <w:pPr>
        <w:widowControl/>
        <w:tabs>
          <w:tab w:val="left" w:pos="1134"/>
        </w:tabs>
        <w:suppressAutoHyphens/>
        <w:spacing w:after="200" w:line="276" w:lineRule="auto"/>
        <w:ind w:leftChars="-1" w:left="1" w:hangingChars="1" w:hanging="3"/>
        <w:textAlignment w:val="top"/>
        <w:outlineLvl w:val="0"/>
        <w:rPr>
          <w:rFonts w:ascii="Times New Roman" w:eastAsia="Times New Roman" w:hAnsi="Times New Roman" w:cs="Times New Roman"/>
          <w:b/>
          <w:position w:val="-1"/>
          <w:sz w:val="28"/>
          <w:szCs w:val="28"/>
          <w:lang w:eastAsia="ru-RU" w:bidi="ar-SA"/>
        </w:rPr>
      </w:pPr>
      <w:r w:rsidRPr="00AA12A9">
        <w:rPr>
          <w:rFonts w:ascii="Times New Roman" w:eastAsia="Times New Roman" w:hAnsi="Times New Roman" w:cs="Times New Roman"/>
          <w:b/>
          <w:position w:val="-1"/>
          <w:sz w:val="28"/>
          <w:szCs w:val="28"/>
          <w:lang w:eastAsia="ru-RU" w:bidi="ar-SA"/>
        </w:rPr>
        <w:t xml:space="preserve">1.Технічні характеристики  генератора 11 </w:t>
      </w:r>
      <w:proofErr w:type="spellStart"/>
      <w:r w:rsidRPr="00AA12A9">
        <w:rPr>
          <w:rFonts w:ascii="Times New Roman" w:eastAsia="Times New Roman" w:hAnsi="Times New Roman" w:cs="Times New Roman"/>
          <w:b/>
          <w:position w:val="-1"/>
          <w:sz w:val="28"/>
          <w:szCs w:val="28"/>
          <w:lang w:eastAsia="ru-RU" w:bidi="ar-SA"/>
        </w:rPr>
        <w:t>кВА</w:t>
      </w:r>
      <w:proofErr w:type="spellEnd"/>
    </w:p>
    <w:tbl>
      <w:tblPr>
        <w:tblW w:w="9810" w:type="dxa"/>
        <w:tblInd w:w="93" w:type="dxa"/>
        <w:tblLayout w:type="fixed"/>
        <w:tblLook w:val="04A0" w:firstRow="1" w:lastRow="0" w:firstColumn="1" w:lastColumn="0" w:noHBand="0" w:noVBand="1"/>
      </w:tblPr>
      <w:tblGrid>
        <w:gridCol w:w="562"/>
        <w:gridCol w:w="2601"/>
        <w:gridCol w:w="4694"/>
        <w:gridCol w:w="1953"/>
      </w:tblGrid>
      <w:tr w:rsidR="00AA12A9" w:rsidRPr="00AA12A9" w:rsidTr="00AD208E">
        <w:trPr>
          <w:trHeight w:val="556"/>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 з/п</w:t>
            </w:r>
          </w:p>
        </w:tc>
        <w:tc>
          <w:tcPr>
            <w:tcW w:w="2601"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Назва</w:t>
            </w:r>
          </w:p>
        </w:tc>
        <w:tc>
          <w:tcPr>
            <w:tcW w:w="4694"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Показник параметру</w:t>
            </w:r>
          </w:p>
        </w:tc>
        <w:tc>
          <w:tcPr>
            <w:tcW w:w="1953"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Кількість</w:t>
            </w:r>
          </w:p>
        </w:tc>
      </w:tr>
      <w:tr w:rsidR="00AA12A9" w:rsidRPr="00AA12A9" w:rsidTr="00AD208E">
        <w:trPr>
          <w:trHeight w:val="556"/>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1</w:t>
            </w:r>
          </w:p>
        </w:tc>
        <w:tc>
          <w:tcPr>
            <w:tcW w:w="2601"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Бензиновий генератор</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
        </w:tc>
        <w:tc>
          <w:tcPr>
            <w:tcW w:w="4694"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Тип палива: Бензиновий</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Максимальна потужність:  11 кВт</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Напруга: 220 / 380 В</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 xml:space="preserve">Тип запуску: ручний / </w:t>
            </w:r>
            <w:proofErr w:type="spellStart"/>
            <w:r w:rsidRPr="00AA12A9">
              <w:rPr>
                <w:rFonts w:ascii="Times New Roman" w:eastAsia="Times New Roman" w:hAnsi="Times New Roman" w:cs="Times New Roman"/>
                <w:position w:val="-1"/>
                <w:sz w:val="22"/>
                <w:szCs w:val="22"/>
                <w:lang w:eastAsia="ru-RU" w:bidi="ar-SA"/>
              </w:rPr>
              <w:t>електростарт</w:t>
            </w:r>
            <w:proofErr w:type="spellEnd"/>
            <w:r w:rsidRPr="00AA12A9">
              <w:rPr>
                <w:rFonts w:ascii="Times New Roman" w:eastAsia="Times New Roman" w:hAnsi="Times New Roman" w:cs="Times New Roman"/>
                <w:position w:val="-1"/>
                <w:sz w:val="22"/>
                <w:szCs w:val="22"/>
                <w:lang w:eastAsia="ru-RU" w:bidi="ar-SA"/>
              </w:rPr>
              <w:t xml:space="preserve"> / автоматичний</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Охолодження: Повітряне</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Тип двигуна:</w:t>
            </w:r>
            <w:r w:rsidRPr="00AA12A9">
              <w:rPr>
                <w:rFonts w:ascii="Times New Roman" w:eastAsia="Times New Roman" w:hAnsi="Times New Roman" w:cs="Times New Roman"/>
                <w:position w:val="-1"/>
                <w:sz w:val="22"/>
                <w:szCs w:val="22"/>
                <w:lang w:eastAsia="ru-RU" w:bidi="ar-SA"/>
              </w:rPr>
              <w:tab/>
              <w:t xml:space="preserve">Бензиновий, </w:t>
            </w:r>
            <w:proofErr w:type="spellStart"/>
            <w:r w:rsidRPr="00AA12A9">
              <w:rPr>
                <w:rFonts w:ascii="Times New Roman" w:eastAsia="Times New Roman" w:hAnsi="Times New Roman" w:cs="Times New Roman"/>
                <w:position w:val="-1"/>
                <w:sz w:val="22"/>
                <w:szCs w:val="22"/>
                <w:lang w:eastAsia="ru-RU" w:bidi="ar-SA"/>
              </w:rPr>
              <w:t>двоцілиндровий</w:t>
            </w:r>
            <w:proofErr w:type="spellEnd"/>
            <w:r w:rsidRPr="00AA12A9">
              <w:rPr>
                <w:rFonts w:ascii="Times New Roman" w:eastAsia="Times New Roman" w:hAnsi="Times New Roman" w:cs="Times New Roman"/>
                <w:position w:val="-1"/>
                <w:sz w:val="22"/>
                <w:szCs w:val="22"/>
                <w:lang w:eastAsia="ru-RU" w:bidi="ar-SA"/>
              </w:rPr>
              <w:t>, 4-тактний, повітряного охолодження</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 xml:space="preserve">Витрати палива при 60% навантаженні (л/год):  не більше 4 л/год </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Обсяг паливного бака (л): 50 л</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 xml:space="preserve">Гарантія: не менше 2-х років </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roofErr w:type="spellStart"/>
            <w:r w:rsidRPr="00AA12A9">
              <w:rPr>
                <w:rFonts w:ascii="Times New Roman" w:eastAsia="Times New Roman" w:hAnsi="Times New Roman" w:cs="Times New Roman"/>
                <w:position w:val="-1"/>
                <w:sz w:val="22"/>
                <w:szCs w:val="22"/>
                <w:lang w:eastAsia="ru-RU" w:bidi="ar-SA"/>
              </w:rPr>
              <w:t>Уровень</w:t>
            </w:r>
            <w:proofErr w:type="spellEnd"/>
            <w:r w:rsidRPr="00AA12A9">
              <w:rPr>
                <w:rFonts w:ascii="Times New Roman" w:eastAsia="Times New Roman" w:hAnsi="Times New Roman" w:cs="Times New Roman"/>
                <w:position w:val="-1"/>
                <w:sz w:val="22"/>
                <w:szCs w:val="22"/>
                <w:lang w:eastAsia="ru-RU" w:bidi="ar-SA"/>
              </w:rPr>
              <w:t xml:space="preserve"> </w:t>
            </w:r>
            <w:proofErr w:type="spellStart"/>
            <w:r w:rsidRPr="00AA12A9">
              <w:rPr>
                <w:rFonts w:ascii="Times New Roman" w:eastAsia="Times New Roman" w:hAnsi="Times New Roman" w:cs="Times New Roman"/>
                <w:position w:val="-1"/>
                <w:sz w:val="22"/>
                <w:szCs w:val="22"/>
                <w:lang w:eastAsia="ru-RU" w:bidi="ar-SA"/>
              </w:rPr>
              <w:t>шума</w:t>
            </w:r>
            <w:proofErr w:type="spellEnd"/>
            <w:r w:rsidRPr="00AA12A9">
              <w:rPr>
                <w:rFonts w:ascii="Times New Roman" w:eastAsia="Times New Roman" w:hAnsi="Times New Roman" w:cs="Times New Roman"/>
                <w:position w:val="-1"/>
                <w:sz w:val="22"/>
                <w:szCs w:val="22"/>
                <w:lang w:eastAsia="ru-RU" w:bidi="ar-SA"/>
              </w:rPr>
              <w:t xml:space="preserve"> (</w:t>
            </w:r>
            <w:proofErr w:type="spellStart"/>
            <w:r w:rsidRPr="00AA12A9">
              <w:rPr>
                <w:rFonts w:ascii="Times New Roman" w:eastAsia="Times New Roman" w:hAnsi="Times New Roman" w:cs="Times New Roman"/>
                <w:position w:val="-1"/>
                <w:sz w:val="22"/>
                <w:szCs w:val="22"/>
                <w:lang w:eastAsia="ru-RU" w:bidi="ar-SA"/>
              </w:rPr>
              <w:t>дБа</w:t>
            </w:r>
            <w:proofErr w:type="spellEnd"/>
            <w:r w:rsidRPr="00AA12A9">
              <w:rPr>
                <w:rFonts w:ascii="Times New Roman" w:eastAsia="Times New Roman" w:hAnsi="Times New Roman" w:cs="Times New Roman"/>
                <w:position w:val="-1"/>
                <w:sz w:val="22"/>
                <w:szCs w:val="22"/>
                <w:lang w:eastAsia="ru-RU" w:bidi="ar-SA"/>
              </w:rPr>
              <w:t xml:space="preserve">): від 72 </w:t>
            </w:r>
            <w:proofErr w:type="spellStart"/>
            <w:r w:rsidRPr="00AA12A9">
              <w:rPr>
                <w:rFonts w:ascii="Times New Roman" w:eastAsia="Times New Roman" w:hAnsi="Times New Roman" w:cs="Times New Roman"/>
                <w:position w:val="-1"/>
                <w:sz w:val="22"/>
                <w:szCs w:val="22"/>
                <w:lang w:eastAsia="ru-RU" w:bidi="ar-SA"/>
              </w:rPr>
              <w:t>дБа</w:t>
            </w:r>
            <w:proofErr w:type="spellEnd"/>
            <w:r w:rsidRPr="00AA12A9">
              <w:rPr>
                <w:rFonts w:ascii="Times New Roman" w:eastAsia="Times New Roman" w:hAnsi="Times New Roman" w:cs="Times New Roman"/>
                <w:position w:val="-1"/>
                <w:sz w:val="22"/>
                <w:szCs w:val="22"/>
                <w:lang w:eastAsia="ru-RU" w:bidi="ar-SA"/>
              </w:rPr>
              <w:t>..</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 xml:space="preserve">АВР – потрібен </w:t>
            </w:r>
          </w:p>
        </w:tc>
        <w:tc>
          <w:tcPr>
            <w:tcW w:w="1953"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7 шт.</w:t>
            </w:r>
          </w:p>
        </w:tc>
      </w:tr>
    </w:tbl>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
    <w:p w:rsidR="00AA12A9" w:rsidRPr="00AA12A9" w:rsidRDefault="00AA12A9" w:rsidP="00AA12A9">
      <w:pPr>
        <w:widowControl/>
        <w:spacing w:line="259" w:lineRule="auto"/>
        <w:jc w:val="center"/>
        <w:rPr>
          <w:rFonts w:ascii="Times New Roman" w:eastAsia="Calibri" w:hAnsi="Times New Roman" w:cs="Times New Roman"/>
          <w:b/>
          <w:color w:val="auto"/>
          <w:lang w:bidi="ar-SA"/>
        </w:rPr>
      </w:pPr>
      <w:r w:rsidRPr="00AA12A9">
        <w:rPr>
          <w:rFonts w:ascii="Times New Roman" w:eastAsia="Calibri" w:hAnsi="Times New Roman" w:cs="Times New Roman"/>
          <w:b/>
          <w:color w:val="auto"/>
          <w:lang w:bidi="ar-SA"/>
        </w:rPr>
        <w:t xml:space="preserve">Адреси постачання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8093"/>
      </w:tblGrid>
      <w:tr w:rsidR="00AA12A9" w:rsidRPr="00AA12A9" w:rsidTr="00AD208E">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autoSpaceDE w:val="0"/>
              <w:autoSpaceDN w:val="0"/>
              <w:adjustRightInd w:val="0"/>
              <w:spacing w:line="259" w:lineRule="auto"/>
              <w:jc w:val="center"/>
              <w:outlineLvl w:val="3"/>
              <w:rPr>
                <w:rFonts w:ascii="Times New Roman" w:eastAsia="Calibri" w:hAnsi="Times New Roman" w:cs="Times New Roman"/>
                <w:color w:val="auto"/>
                <w:lang w:bidi="ar-SA"/>
              </w:rPr>
            </w:pPr>
            <w:r w:rsidRPr="00AA12A9">
              <w:rPr>
                <w:rFonts w:ascii="Times New Roman" w:eastAsia="Calibri" w:hAnsi="Times New Roman" w:cs="Times New Roman"/>
                <w:b/>
                <w:color w:val="auto"/>
                <w:lang w:bidi="ar-SA"/>
              </w:rPr>
              <w:t>Місцеві загальні суди Київської області</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t>1</w:t>
            </w:r>
          </w:p>
        </w:tc>
        <w:tc>
          <w:tcPr>
            <w:tcW w:w="4553"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Білоцерківський  міськрайонний суд  м. Біла Церква </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t>2</w:t>
            </w:r>
          </w:p>
        </w:tc>
        <w:tc>
          <w:tcPr>
            <w:tcW w:w="4553"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Броварський міськрайонний суд м. Бровари</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t>3</w:t>
            </w:r>
          </w:p>
        </w:tc>
        <w:tc>
          <w:tcPr>
            <w:tcW w:w="4553"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Васильківський міськрайонний суд м. Васильків</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t>4</w:t>
            </w:r>
          </w:p>
        </w:tc>
        <w:tc>
          <w:tcPr>
            <w:tcW w:w="4553"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Вишгородський районний суд м. Вишгород</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t>5</w:t>
            </w:r>
          </w:p>
        </w:tc>
        <w:tc>
          <w:tcPr>
            <w:tcW w:w="4553"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Ірпіньський</w:t>
            </w:r>
            <w:proofErr w:type="spellEnd"/>
            <w:r w:rsidRPr="00AA12A9">
              <w:rPr>
                <w:rFonts w:ascii="Times New Roman" w:eastAsia="Times New Roman" w:hAnsi="Times New Roman" w:cs="Times New Roman"/>
                <w:color w:val="auto"/>
                <w:lang w:eastAsia="ru-RU" w:bidi="ar-SA"/>
              </w:rPr>
              <w:t xml:space="preserve">  міський суд м. Ірпінь </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t>6</w:t>
            </w:r>
          </w:p>
        </w:tc>
        <w:tc>
          <w:tcPr>
            <w:tcW w:w="4553"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К-Святошинський районний суд м. Київ</w:t>
            </w:r>
          </w:p>
        </w:tc>
      </w:tr>
      <w:tr w:rsidR="00AA12A9" w:rsidRPr="00AA12A9" w:rsidTr="00AD208E">
        <w:trPr>
          <w:trHeight w:val="240"/>
          <w:jc w:val="center"/>
        </w:trPr>
        <w:tc>
          <w:tcPr>
            <w:tcW w:w="447"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59" w:lineRule="auto"/>
              <w:rPr>
                <w:rFonts w:ascii="Times New Roman" w:eastAsia="Calibri" w:hAnsi="Times New Roman" w:cs="Times New Roman"/>
                <w:color w:val="auto"/>
                <w:lang w:bidi="ar-SA"/>
              </w:rPr>
            </w:pPr>
            <w:r w:rsidRPr="00AA12A9">
              <w:rPr>
                <w:rFonts w:ascii="Times New Roman" w:eastAsia="Calibri" w:hAnsi="Times New Roman" w:cs="Times New Roman"/>
                <w:color w:val="auto"/>
                <w:lang w:bidi="ar-SA"/>
              </w:rPr>
              <w:lastRenderedPageBreak/>
              <w:t>7</w:t>
            </w:r>
          </w:p>
        </w:tc>
        <w:tc>
          <w:tcPr>
            <w:tcW w:w="4553"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Фастівський міськрайонний суд </w:t>
            </w:r>
            <w:proofErr w:type="spellStart"/>
            <w:r w:rsidRPr="00AA12A9">
              <w:rPr>
                <w:rFonts w:ascii="Times New Roman" w:eastAsia="Times New Roman" w:hAnsi="Times New Roman" w:cs="Times New Roman"/>
                <w:color w:val="auto"/>
                <w:lang w:eastAsia="ru-RU" w:bidi="ar-SA"/>
              </w:rPr>
              <w:t>м.Фастів</w:t>
            </w:r>
            <w:proofErr w:type="spellEnd"/>
          </w:p>
        </w:tc>
      </w:tr>
    </w:tbl>
    <w:p w:rsidR="00AA12A9" w:rsidRPr="00AA12A9" w:rsidRDefault="00AA12A9" w:rsidP="00AA12A9">
      <w:pPr>
        <w:widowControl/>
        <w:tabs>
          <w:tab w:val="left" w:pos="1134"/>
        </w:tabs>
        <w:suppressAutoHyphens/>
        <w:spacing w:after="200" w:line="276" w:lineRule="auto"/>
        <w:ind w:leftChars="-1" w:left="1" w:hangingChars="1" w:hanging="3"/>
        <w:textAlignment w:val="top"/>
        <w:outlineLvl w:val="0"/>
        <w:rPr>
          <w:rFonts w:ascii="Times New Roman" w:eastAsia="Times New Roman" w:hAnsi="Times New Roman" w:cs="Times New Roman"/>
          <w:b/>
          <w:position w:val="-1"/>
          <w:sz w:val="28"/>
          <w:szCs w:val="28"/>
          <w:lang w:eastAsia="ru-RU" w:bidi="ar-SA"/>
        </w:rPr>
      </w:pPr>
      <w:bookmarkStart w:id="0" w:name="_GoBack"/>
      <w:bookmarkEnd w:id="0"/>
      <w:r w:rsidRPr="00AA12A9">
        <w:rPr>
          <w:rFonts w:ascii="Times New Roman" w:eastAsia="Times New Roman" w:hAnsi="Times New Roman" w:cs="Times New Roman"/>
          <w:b/>
          <w:position w:val="-1"/>
          <w:sz w:val="28"/>
          <w:szCs w:val="28"/>
          <w:lang w:eastAsia="ru-RU" w:bidi="ar-SA"/>
        </w:rPr>
        <w:t xml:space="preserve">1.Технічні характеристики  генератора 8,5 </w:t>
      </w:r>
      <w:proofErr w:type="spellStart"/>
      <w:r w:rsidRPr="00AA12A9">
        <w:rPr>
          <w:rFonts w:ascii="Times New Roman" w:eastAsia="Times New Roman" w:hAnsi="Times New Roman" w:cs="Times New Roman"/>
          <w:b/>
          <w:position w:val="-1"/>
          <w:sz w:val="28"/>
          <w:szCs w:val="28"/>
          <w:lang w:eastAsia="ru-RU" w:bidi="ar-SA"/>
        </w:rPr>
        <w:t>кВА</w:t>
      </w:r>
      <w:proofErr w:type="spellEnd"/>
    </w:p>
    <w:tbl>
      <w:tblPr>
        <w:tblW w:w="9810" w:type="dxa"/>
        <w:tblInd w:w="93" w:type="dxa"/>
        <w:tblLayout w:type="fixed"/>
        <w:tblLook w:val="04A0" w:firstRow="1" w:lastRow="0" w:firstColumn="1" w:lastColumn="0" w:noHBand="0" w:noVBand="1"/>
      </w:tblPr>
      <w:tblGrid>
        <w:gridCol w:w="562"/>
        <w:gridCol w:w="2601"/>
        <w:gridCol w:w="4694"/>
        <w:gridCol w:w="1953"/>
      </w:tblGrid>
      <w:tr w:rsidR="00AA12A9" w:rsidRPr="00AA12A9" w:rsidTr="00AD208E">
        <w:trPr>
          <w:trHeight w:val="556"/>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 з/п</w:t>
            </w:r>
          </w:p>
        </w:tc>
        <w:tc>
          <w:tcPr>
            <w:tcW w:w="2601"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Назва</w:t>
            </w:r>
          </w:p>
        </w:tc>
        <w:tc>
          <w:tcPr>
            <w:tcW w:w="4694"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Показник параметру</w:t>
            </w:r>
          </w:p>
        </w:tc>
        <w:tc>
          <w:tcPr>
            <w:tcW w:w="1953"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Кількість</w:t>
            </w:r>
          </w:p>
        </w:tc>
      </w:tr>
      <w:tr w:rsidR="00AA12A9" w:rsidRPr="00AA12A9" w:rsidTr="00AD208E">
        <w:trPr>
          <w:trHeight w:val="556"/>
        </w:trPr>
        <w:tc>
          <w:tcPr>
            <w:tcW w:w="562" w:type="dxa"/>
            <w:tcBorders>
              <w:top w:val="single" w:sz="4" w:space="0" w:color="000000"/>
              <w:left w:val="single" w:sz="4" w:space="0" w:color="000000"/>
              <w:bottom w:val="single" w:sz="4" w:space="0" w:color="000000"/>
              <w:right w:val="single" w:sz="4" w:space="0" w:color="000000"/>
            </w:tcBorders>
            <w:vAlign w:val="center"/>
            <w:hideMark/>
          </w:tcPr>
          <w:p w:rsidR="00AA12A9" w:rsidRPr="00AA12A9" w:rsidRDefault="00AA12A9" w:rsidP="00AA12A9">
            <w:pPr>
              <w:widowControl/>
              <w:suppressAutoHyphens/>
              <w:spacing w:after="200"/>
              <w:ind w:leftChars="-1" w:hangingChars="1" w:hanging="2"/>
              <w:jc w:val="both"/>
              <w:textAlignment w:val="top"/>
              <w:outlineLvl w:val="0"/>
              <w:rPr>
                <w:rFonts w:ascii="Times New Roman" w:eastAsia="Times New Roman" w:hAnsi="Times New Roman" w:cs="Times New Roman"/>
                <w:b/>
                <w:position w:val="-1"/>
                <w:sz w:val="22"/>
                <w:szCs w:val="22"/>
                <w:lang w:eastAsia="ru-RU" w:bidi="ar-SA"/>
              </w:rPr>
            </w:pPr>
            <w:r w:rsidRPr="00AA12A9">
              <w:rPr>
                <w:rFonts w:ascii="Times New Roman" w:eastAsia="Times New Roman" w:hAnsi="Times New Roman" w:cs="Times New Roman"/>
                <w:b/>
                <w:position w:val="-1"/>
                <w:sz w:val="22"/>
                <w:szCs w:val="22"/>
                <w:lang w:eastAsia="ru-RU" w:bidi="ar-SA"/>
              </w:rPr>
              <w:t>1</w:t>
            </w:r>
          </w:p>
        </w:tc>
        <w:tc>
          <w:tcPr>
            <w:tcW w:w="2601"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Бензиновий генератор</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
        </w:tc>
        <w:tc>
          <w:tcPr>
            <w:tcW w:w="4694"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Тип палива: Бензиновий</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Максимальна потужність:  8,5 кВт</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Напруга: 220 / 380 В</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 xml:space="preserve">Тип запуску: Ручний та/або </w:t>
            </w:r>
            <w:proofErr w:type="spellStart"/>
            <w:r w:rsidRPr="00AA12A9">
              <w:rPr>
                <w:rFonts w:ascii="Times New Roman" w:eastAsia="Times New Roman" w:hAnsi="Times New Roman" w:cs="Times New Roman"/>
                <w:position w:val="-1"/>
                <w:sz w:val="22"/>
                <w:szCs w:val="22"/>
                <w:lang w:eastAsia="ru-RU" w:bidi="ar-SA"/>
              </w:rPr>
              <w:t>електростарт</w:t>
            </w:r>
            <w:proofErr w:type="spellEnd"/>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Охолодження: Повітряне</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Тип двигуна:</w:t>
            </w:r>
            <w:r w:rsidRPr="00AA12A9">
              <w:rPr>
                <w:rFonts w:ascii="Times New Roman" w:eastAsia="Times New Roman" w:hAnsi="Times New Roman" w:cs="Times New Roman"/>
                <w:position w:val="-1"/>
                <w:sz w:val="22"/>
                <w:szCs w:val="22"/>
                <w:lang w:eastAsia="ru-RU" w:bidi="ar-SA"/>
              </w:rPr>
              <w:tab/>
              <w:t xml:space="preserve">Бензиновий, </w:t>
            </w:r>
            <w:proofErr w:type="spellStart"/>
            <w:r w:rsidRPr="00AA12A9">
              <w:rPr>
                <w:rFonts w:ascii="Times New Roman" w:eastAsia="Times New Roman" w:hAnsi="Times New Roman" w:cs="Times New Roman"/>
                <w:position w:val="-1"/>
                <w:sz w:val="22"/>
                <w:szCs w:val="22"/>
                <w:lang w:eastAsia="ru-RU" w:bidi="ar-SA"/>
              </w:rPr>
              <w:t>Одноцілиндровий</w:t>
            </w:r>
            <w:proofErr w:type="spellEnd"/>
            <w:r w:rsidRPr="00AA12A9">
              <w:rPr>
                <w:rFonts w:ascii="Times New Roman" w:eastAsia="Times New Roman" w:hAnsi="Times New Roman" w:cs="Times New Roman"/>
                <w:position w:val="-1"/>
                <w:sz w:val="22"/>
                <w:szCs w:val="22"/>
                <w:lang w:eastAsia="ru-RU" w:bidi="ar-SA"/>
              </w:rPr>
              <w:t>, 4-тактний, повітряного охолодження</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Витрати палива при 60% навантаженні (л/год): не більше 2.3 л/год</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Обсяг паливного бака (л): 23 л</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 xml:space="preserve">Гарантія: не менше 2-х років </w:t>
            </w:r>
          </w:p>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roofErr w:type="spellStart"/>
            <w:r w:rsidRPr="00AA12A9">
              <w:rPr>
                <w:rFonts w:ascii="Times New Roman" w:eastAsia="Times New Roman" w:hAnsi="Times New Roman" w:cs="Times New Roman"/>
                <w:position w:val="-1"/>
                <w:sz w:val="22"/>
                <w:szCs w:val="22"/>
                <w:lang w:eastAsia="ru-RU" w:bidi="ar-SA"/>
              </w:rPr>
              <w:t>Уровень</w:t>
            </w:r>
            <w:proofErr w:type="spellEnd"/>
            <w:r w:rsidRPr="00AA12A9">
              <w:rPr>
                <w:rFonts w:ascii="Times New Roman" w:eastAsia="Times New Roman" w:hAnsi="Times New Roman" w:cs="Times New Roman"/>
                <w:position w:val="-1"/>
                <w:sz w:val="22"/>
                <w:szCs w:val="22"/>
                <w:lang w:eastAsia="ru-RU" w:bidi="ar-SA"/>
              </w:rPr>
              <w:t xml:space="preserve"> </w:t>
            </w:r>
            <w:proofErr w:type="spellStart"/>
            <w:r w:rsidRPr="00AA12A9">
              <w:rPr>
                <w:rFonts w:ascii="Times New Roman" w:eastAsia="Times New Roman" w:hAnsi="Times New Roman" w:cs="Times New Roman"/>
                <w:position w:val="-1"/>
                <w:sz w:val="22"/>
                <w:szCs w:val="22"/>
                <w:lang w:eastAsia="ru-RU" w:bidi="ar-SA"/>
              </w:rPr>
              <w:t>шума</w:t>
            </w:r>
            <w:proofErr w:type="spellEnd"/>
            <w:r w:rsidRPr="00AA12A9">
              <w:rPr>
                <w:rFonts w:ascii="Times New Roman" w:eastAsia="Times New Roman" w:hAnsi="Times New Roman" w:cs="Times New Roman"/>
                <w:position w:val="-1"/>
                <w:sz w:val="22"/>
                <w:szCs w:val="22"/>
                <w:lang w:eastAsia="ru-RU" w:bidi="ar-SA"/>
              </w:rPr>
              <w:t xml:space="preserve"> (</w:t>
            </w:r>
            <w:proofErr w:type="spellStart"/>
            <w:r w:rsidRPr="00AA12A9">
              <w:rPr>
                <w:rFonts w:ascii="Times New Roman" w:eastAsia="Times New Roman" w:hAnsi="Times New Roman" w:cs="Times New Roman"/>
                <w:position w:val="-1"/>
                <w:sz w:val="22"/>
                <w:szCs w:val="22"/>
                <w:lang w:eastAsia="ru-RU" w:bidi="ar-SA"/>
              </w:rPr>
              <w:t>дБа</w:t>
            </w:r>
            <w:proofErr w:type="spellEnd"/>
            <w:r w:rsidRPr="00AA12A9">
              <w:rPr>
                <w:rFonts w:ascii="Times New Roman" w:eastAsia="Times New Roman" w:hAnsi="Times New Roman" w:cs="Times New Roman"/>
                <w:position w:val="-1"/>
                <w:sz w:val="22"/>
                <w:szCs w:val="22"/>
                <w:lang w:eastAsia="ru-RU" w:bidi="ar-SA"/>
              </w:rPr>
              <w:t xml:space="preserve">): від 72 </w:t>
            </w:r>
            <w:proofErr w:type="spellStart"/>
            <w:r w:rsidRPr="00AA12A9">
              <w:rPr>
                <w:rFonts w:ascii="Times New Roman" w:eastAsia="Times New Roman" w:hAnsi="Times New Roman" w:cs="Times New Roman"/>
                <w:position w:val="-1"/>
                <w:sz w:val="22"/>
                <w:szCs w:val="22"/>
                <w:lang w:eastAsia="ru-RU" w:bidi="ar-SA"/>
              </w:rPr>
              <w:t>дБа</w:t>
            </w:r>
            <w:proofErr w:type="spellEnd"/>
            <w:r w:rsidRPr="00AA12A9">
              <w:rPr>
                <w:rFonts w:ascii="Times New Roman" w:eastAsia="Times New Roman" w:hAnsi="Times New Roman" w:cs="Times New Roman"/>
                <w:position w:val="-1"/>
                <w:sz w:val="22"/>
                <w:szCs w:val="22"/>
                <w:lang w:eastAsia="ru-RU" w:bidi="ar-SA"/>
              </w:rPr>
              <w:t>..</w:t>
            </w:r>
          </w:p>
        </w:tc>
        <w:tc>
          <w:tcPr>
            <w:tcW w:w="1953" w:type="dxa"/>
            <w:tcBorders>
              <w:top w:val="single" w:sz="4" w:space="0" w:color="000000"/>
              <w:left w:val="nil"/>
              <w:bottom w:val="single" w:sz="4" w:space="0" w:color="000000"/>
              <w:right w:val="single" w:sz="4" w:space="0" w:color="000000"/>
            </w:tcBorders>
            <w:vAlign w:val="center"/>
            <w:hideMark/>
          </w:tcPr>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r w:rsidRPr="00AA12A9">
              <w:rPr>
                <w:rFonts w:ascii="Times New Roman" w:eastAsia="Times New Roman" w:hAnsi="Times New Roman" w:cs="Times New Roman"/>
                <w:position w:val="-1"/>
                <w:sz w:val="22"/>
                <w:szCs w:val="22"/>
                <w:lang w:eastAsia="ru-RU" w:bidi="ar-SA"/>
              </w:rPr>
              <w:t>19 шт.</w:t>
            </w:r>
          </w:p>
        </w:tc>
      </w:tr>
    </w:tbl>
    <w:p w:rsidR="00AA12A9" w:rsidRPr="00AA12A9" w:rsidRDefault="00AA12A9" w:rsidP="00AA12A9">
      <w:pPr>
        <w:widowControl/>
        <w:suppressAutoHyphens/>
        <w:ind w:leftChars="-1" w:hangingChars="1" w:hanging="2"/>
        <w:jc w:val="both"/>
        <w:textAlignment w:val="top"/>
        <w:outlineLvl w:val="0"/>
        <w:rPr>
          <w:rFonts w:ascii="Times New Roman" w:eastAsia="Times New Roman" w:hAnsi="Times New Roman" w:cs="Times New Roman"/>
          <w:position w:val="-1"/>
          <w:sz w:val="22"/>
          <w:szCs w:val="22"/>
          <w:lang w:eastAsia="ru-RU" w:bidi="ar-SA"/>
        </w:rPr>
      </w:pPr>
    </w:p>
    <w:p w:rsidR="00AA12A9" w:rsidRPr="00AA12A9" w:rsidRDefault="00AA12A9" w:rsidP="00AA12A9">
      <w:pPr>
        <w:widowControl/>
        <w:spacing w:line="259" w:lineRule="auto"/>
        <w:jc w:val="center"/>
        <w:rPr>
          <w:rFonts w:ascii="Times New Roman" w:eastAsia="Calibri" w:hAnsi="Times New Roman" w:cs="Times New Roman"/>
          <w:b/>
          <w:color w:val="auto"/>
          <w:lang w:bidi="ar-SA"/>
        </w:rPr>
      </w:pPr>
      <w:r w:rsidRPr="00AA12A9">
        <w:rPr>
          <w:rFonts w:ascii="Times New Roman" w:eastAsia="Calibri" w:hAnsi="Times New Roman" w:cs="Times New Roman"/>
          <w:b/>
          <w:color w:val="auto"/>
          <w:lang w:bidi="ar-SA"/>
        </w:rPr>
        <w:t xml:space="preserve">Адреси постачання </w:t>
      </w:r>
    </w:p>
    <w:p w:rsidR="00AA12A9" w:rsidRPr="00AA12A9" w:rsidRDefault="00AA12A9" w:rsidP="00AA12A9">
      <w:pPr>
        <w:widowControl/>
        <w:spacing w:line="259" w:lineRule="auto"/>
        <w:jc w:val="center"/>
        <w:rPr>
          <w:rFonts w:ascii="Times New Roman" w:eastAsia="Calibri" w:hAnsi="Times New Roman" w:cs="Times New Roman"/>
          <w:b/>
          <w:color w:val="auto"/>
          <w:lang w:bidi="ar-SA"/>
        </w:rPr>
      </w:pP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35"/>
      </w:tblGrid>
      <w:tr w:rsidR="00AA12A9" w:rsidRPr="00AA12A9" w:rsidTr="00AD208E">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autoSpaceDE w:val="0"/>
              <w:autoSpaceDN w:val="0"/>
              <w:adjustRightInd w:val="0"/>
              <w:spacing w:line="276" w:lineRule="auto"/>
              <w:jc w:val="center"/>
              <w:outlineLvl w:val="3"/>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b/>
                <w:color w:val="auto"/>
                <w:lang w:eastAsia="ru-RU" w:bidi="ar-SA"/>
              </w:rPr>
              <w:t>Місцеві загальні суди Київської області</w:t>
            </w:r>
          </w:p>
        </w:tc>
      </w:tr>
      <w:tr w:rsidR="00AA12A9" w:rsidRPr="00AA12A9" w:rsidTr="00AD208E">
        <w:trPr>
          <w:trHeight w:val="28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Березанський</w:t>
            </w:r>
            <w:proofErr w:type="spellEnd"/>
            <w:r w:rsidRPr="00AA12A9">
              <w:rPr>
                <w:rFonts w:ascii="Times New Roman" w:eastAsia="Times New Roman" w:hAnsi="Times New Roman" w:cs="Times New Roman"/>
                <w:color w:val="auto"/>
                <w:lang w:eastAsia="ru-RU" w:bidi="ar-SA"/>
              </w:rPr>
              <w:t xml:space="preserve">  міський суд   м. Березань</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2</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tabs>
                <w:tab w:val="left" w:pos="2655"/>
              </w:tabs>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Ржищівський</w:t>
            </w:r>
            <w:proofErr w:type="spellEnd"/>
            <w:r w:rsidRPr="00AA12A9">
              <w:rPr>
                <w:rFonts w:ascii="Times New Roman" w:eastAsia="Times New Roman" w:hAnsi="Times New Roman" w:cs="Times New Roman"/>
                <w:color w:val="auto"/>
                <w:lang w:eastAsia="ru-RU" w:bidi="ar-SA"/>
              </w:rPr>
              <w:t xml:space="preserve">  міський суд</w:t>
            </w:r>
            <w:r w:rsidRPr="00AA12A9">
              <w:rPr>
                <w:rFonts w:ascii="Times New Roman" w:eastAsia="Times New Roman" w:hAnsi="Times New Roman" w:cs="Times New Roman"/>
                <w:color w:val="auto"/>
                <w:lang w:eastAsia="ru-RU" w:bidi="ar-SA"/>
              </w:rPr>
              <w:tab/>
            </w:r>
            <w:proofErr w:type="spellStart"/>
            <w:r w:rsidRPr="00AA12A9">
              <w:rPr>
                <w:rFonts w:ascii="Times New Roman" w:eastAsia="Times New Roman" w:hAnsi="Times New Roman" w:cs="Times New Roman"/>
                <w:color w:val="auto"/>
                <w:lang w:eastAsia="ru-RU" w:bidi="ar-SA"/>
              </w:rPr>
              <w:t>м.Ржищів</w:t>
            </w:r>
            <w:proofErr w:type="spellEnd"/>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3</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Славутицький</w:t>
            </w:r>
            <w:proofErr w:type="spellEnd"/>
            <w:r w:rsidRPr="00AA12A9">
              <w:rPr>
                <w:rFonts w:ascii="Times New Roman" w:eastAsia="Times New Roman" w:hAnsi="Times New Roman" w:cs="Times New Roman"/>
                <w:color w:val="auto"/>
                <w:lang w:eastAsia="ru-RU" w:bidi="ar-SA"/>
              </w:rPr>
              <w:t xml:space="preserve">  міський суд </w:t>
            </w:r>
            <w:proofErr w:type="spellStart"/>
            <w:r w:rsidRPr="00AA12A9">
              <w:rPr>
                <w:rFonts w:ascii="Times New Roman" w:eastAsia="Times New Roman" w:hAnsi="Times New Roman" w:cs="Times New Roman"/>
                <w:color w:val="auto"/>
                <w:lang w:eastAsia="ru-RU" w:bidi="ar-SA"/>
              </w:rPr>
              <w:t>м.Славутич</w:t>
            </w:r>
            <w:proofErr w:type="spellEnd"/>
            <w:r w:rsidRPr="00AA12A9">
              <w:rPr>
                <w:rFonts w:ascii="Times New Roman" w:eastAsia="Times New Roman" w:hAnsi="Times New Roman" w:cs="Times New Roman"/>
                <w:color w:val="auto"/>
                <w:lang w:eastAsia="ru-RU" w:bidi="ar-SA"/>
              </w:rPr>
              <w:t xml:space="preserve"> </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4</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Баришівський</w:t>
            </w:r>
            <w:proofErr w:type="spellEnd"/>
            <w:r w:rsidRPr="00AA12A9">
              <w:rPr>
                <w:rFonts w:ascii="Times New Roman" w:eastAsia="Times New Roman" w:hAnsi="Times New Roman" w:cs="Times New Roman"/>
                <w:color w:val="auto"/>
                <w:lang w:eastAsia="ru-RU" w:bidi="ar-SA"/>
              </w:rPr>
              <w:t xml:space="preserve"> районний суд </w:t>
            </w:r>
            <w:proofErr w:type="spellStart"/>
            <w:r w:rsidRPr="00AA12A9">
              <w:rPr>
                <w:rFonts w:ascii="Times New Roman" w:eastAsia="Times New Roman" w:hAnsi="Times New Roman" w:cs="Times New Roman"/>
                <w:color w:val="auto"/>
                <w:lang w:eastAsia="ru-RU" w:bidi="ar-SA"/>
              </w:rPr>
              <w:t>смт.Баришівка</w:t>
            </w:r>
            <w:proofErr w:type="spellEnd"/>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5</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Богуславський районний суд м. Богуслав </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6</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Бородянський районний суд </w:t>
            </w:r>
            <w:proofErr w:type="spellStart"/>
            <w:r w:rsidRPr="00AA12A9">
              <w:rPr>
                <w:rFonts w:ascii="Times New Roman" w:eastAsia="Times New Roman" w:hAnsi="Times New Roman" w:cs="Times New Roman"/>
                <w:color w:val="auto"/>
                <w:lang w:eastAsia="ru-RU" w:bidi="ar-SA"/>
              </w:rPr>
              <w:t>смт.Бородянка</w:t>
            </w:r>
            <w:proofErr w:type="spellEnd"/>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7</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Володарський районний суд смт. Володарка </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8</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Згурівський</w:t>
            </w:r>
            <w:proofErr w:type="spellEnd"/>
            <w:r w:rsidRPr="00AA12A9">
              <w:rPr>
                <w:rFonts w:ascii="Times New Roman" w:eastAsia="Times New Roman" w:hAnsi="Times New Roman" w:cs="Times New Roman"/>
                <w:color w:val="auto"/>
                <w:lang w:eastAsia="ru-RU" w:bidi="ar-SA"/>
              </w:rPr>
              <w:t xml:space="preserve"> районний суд </w:t>
            </w:r>
            <w:proofErr w:type="spellStart"/>
            <w:r w:rsidRPr="00AA12A9">
              <w:rPr>
                <w:rFonts w:ascii="Times New Roman" w:eastAsia="Times New Roman" w:hAnsi="Times New Roman" w:cs="Times New Roman"/>
                <w:color w:val="auto"/>
                <w:lang w:eastAsia="ru-RU" w:bidi="ar-SA"/>
              </w:rPr>
              <w:t>смт.Згурівка</w:t>
            </w:r>
            <w:proofErr w:type="spellEnd"/>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9</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Кагарлицький районний суд м. Кагарлик</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10</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Макарівський</w:t>
            </w:r>
            <w:proofErr w:type="spellEnd"/>
            <w:r w:rsidRPr="00AA12A9">
              <w:rPr>
                <w:rFonts w:ascii="Times New Roman" w:eastAsia="Times New Roman" w:hAnsi="Times New Roman" w:cs="Times New Roman"/>
                <w:color w:val="auto"/>
                <w:lang w:eastAsia="ru-RU" w:bidi="ar-SA"/>
              </w:rPr>
              <w:t xml:space="preserve"> районний суд смт. Макарів</w:t>
            </w:r>
          </w:p>
        </w:tc>
      </w:tr>
      <w:tr w:rsidR="00AA12A9" w:rsidRPr="00AA12A9" w:rsidTr="00AD208E">
        <w:trPr>
          <w:trHeight w:val="359"/>
          <w:jc w:val="center"/>
        </w:trPr>
        <w:tc>
          <w:tcPr>
            <w:tcW w:w="242" w:type="pct"/>
            <w:tcBorders>
              <w:top w:val="single" w:sz="4" w:space="0" w:color="auto"/>
              <w:left w:val="single" w:sz="4" w:space="0" w:color="auto"/>
              <w:bottom w:val="single" w:sz="4" w:space="0" w:color="auto"/>
              <w:right w:val="single" w:sz="4" w:space="0" w:color="auto"/>
            </w:tcBorders>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11</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Миронівський районний суд </w:t>
            </w:r>
            <w:proofErr w:type="spellStart"/>
            <w:r w:rsidRPr="00AA12A9">
              <w:rPr>
                <w:rFonts w:ascii="Times New Roman" w:eastAsia="Times New Roman" w:hAnsi="Times New Roman" w:cs="Times New Roman"/>
                <w:color w:val="auto"/>
                <w:lang w:eastAsia="ru-RU" w:bidi="ar-SA"/>
              </w:rPr>
              <w:t>м.Миронівка</w:t>
            </w:r>
            <w:proofErr w:type="spellEnd"/>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12</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Обухівський районний суд м. Обухів </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13</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Рокитнянський районний суд смт. </w:t>
            </w:r>
            <w:proofErr w:type="spellStart"/>
            <w:r w:rsidRPr="00AA12A9">
              <w:rPr>
                <w:rFonts w:ascii="Times New Roman" w:eastAsia="Times New Roman" w:hAnsi="Times New Roman" w:cs="Times New Roman"/>
                <w:color w:val="auto"/>
                <w:lang w:eastAsia="ru-RU" w:bidi="ar-SA"/>
              </w:rPr>
              <w:t>Рокитне</w:t>
            </w:r>
            <w:proofErr w:type="spellEnd"/>
            <w:r w:rsidRPr="00AA12A9">
              <w:rPr>
                <w:rFonts w:ascii="Times New Roman" w:eastAsia="Times New Roman" w:hAnsi="Times New Roman" w:cs="Times New Roman"/>
                <w:color w:val="auto"/>
                <w:lang w:eastAsia="ru-RU" w:bidi="ar-SA"/>
              </w:rPr>
              <w:t xml:space="preserve"> </w:t>
            </w:r>
          </w:p>
        </w:tc>
      </w:tr>
      <w:tr w:rsidR="00AA12A9" w:rsidRPr="00AA12A9" w:rsidTr="00AD208E">
        <w:trPr>
          <w:trHeight w:val="332"/>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14</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Сквирський районний суд </w:t>
            </w:r>
            <w:proofErr w:type="spellStart"/>
            <w:r w:rsidRPr="00AA12A9">
              <w:rPr>
                <w:rFonts w:ascii="Times New Roman" w:eastAsia="Times New Roman" w:hAnsi="Times New Roman" w:cs="Times New Roman"/>
                <w:color w:val="auto"/>
                <w:lang w:eastAsia="ru-RU" w:bidi="ar-SA"/>
              </w:rPr>
              <w:t>м.Сквира</w:t>
            </w:r>
            <w:proofErr w:type="spellEnd"/>
            <w:r w:rsidRPr="00AA12A9">
              <w:rPr>
                <w:rFonts w:ascii="Times New Roman" w:eastAsia="Times New Roman" w:hAnsi="Times New Roman" w:cs="Times New Roman"/>
                <w:color w:val="auto"/>
                <w:lang w:eastAsia="ru-RU" w:bidi="ar-SA"/>
              </w:rPr>
              <w:t xml:space="preserve">, </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15</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Ставищенський</w:t>
            </w:r>
            <w:proofErr w:type="spellEnd"/>
            <w:r w:rsidRPr="00AA12A9">
              <w:rPr>
                <w:rFonts w:ascii="Times New Roman" w:eastAsia="Times New Roman" w:hAnsi="Times New Roman" w:cs="Times New Roman"/>
                <w:color w:val="auto"/>
                <w:lang w:eastAsia="ru-RU" w:bidi="ar-SA"/>
              </w:rPr>
              <w:t xml:space="preserve"> районний суд смт. Ставище </w:t>
            </w:r>
          </w:p>
        </w:tc>
      </w:tr>
      <w:tr w:rsidR="00AA12A9" w:rsidRPr="00AA12A9" w:rsidTr="00AD208E">
        <w:trPr>
          <w:trHeight w:val="369"/>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16</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Таращанський районний суд м. Тараща</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17</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Тетіївський районний суд м. Тетіїв</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18</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proofErr w:type="spellStart"/>
            <w:r w:rsidRPr="00AA12A9">
              <w:rPr>
                <w:rFonts w:ascii="Times New Roman" w:eastAsia="Times New Roman" w:hAnsi="Times New Roman" w:cs="Times New Roman"/>
                <w:color w:val="auto"/>
                <w:lang w:eastAsia="ru-RU" w:bidi="ar-SA"/>
              </w:rPr>
              <w:t>Яготинський</w:t>
            </w:r>
            <w:proofErr w:type="spellEnd"/>
            <w:r w:rsidRPr="00AA12A9">
              <w:rPr>
                <w:rFonts w:ascii="Times New Roman" w:eastAsia="Times New Roman" w:hAnsi="Times New Roman" w:cs="Times New Roman"/>
                <w:color w:val="auto"/>
                <w:lang w:eastAsia="ru-RU" w:bidi="ar-SA"/>
              </w:rPr>
              <w:t xml:space="preserve"> районний суд  м. Яготин</w:t>
            </w:r>
          </w:p>
        </w:tc>
      </w:tr>
      <w:tr w:rsidR="00AA12A9" w:rsidRPr="00AA12A9" w:rsidTr="00AD208E">
        <w:trPr>
          <w:trHeight w:val="240"/>
          <w:jc w:val="center"/>
        </w:trPr>
        <w:tc>
          <w:tcPr>
            <w:tcW w:w="242"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19</w:t>
            </w:r>
          </w:p>
        </w:tc>
        <w:tc>
          <w:tcPr>
            <w:tcW w:w="4758" w:type="pct"/>
            <w:tcBorders>
              <w:top w:val="single" w:sz="4" w:space="0" w:color="auto"/>
              <w:left w:val="single" w:sz="4" w:space="0" w:color="auto"/>
              <w:bottom w:val="single" w:sz="4" w:space="0" w:color="auto"/>
              <w:right w:val="single" w:sz="4" w:space="0" w:color="auto"/>
            </w:tcBorders>
            <w:hideMark/>
          </w:tcPr>
          <w:p w:rsidR="00AA12A9" w:rsidRPr="00AA12A9" w:rsidRDefault="00AA12A9" w:rsidP="00AA12A9">
            <w:pPr>
              <w:widowControl/>
              <w:spacing w:line="276" w:lineRule="auto"/>
              <w:rPr>
                <w:rFonts w:ascii="Times New Roman" w:eastAsia="Times New Roman" w:hAnsi="Times New Roman" w:cs="Times New Roman"/>
                <w:color w:val="auto"/>
                <w:lang w:eastAsia="ru-RU" w:bidi="ar-SA"/>
              </w:rPr>
            </w:pPr>
            <w:r w:rsidRPr="00AA12A9">
              <w:rPr>
                <w:rFonts w:ascii="Times New Roman" w:eastAsia="Times New Roman" w:hAnsi="Times New Roman" w:cs="Times New Roman"/>
                <w:color w:val="auto"/>
                <w:lang w:eastAsia="ru-RU" w:bidi="ar-SA"/>
              </w:rPr>
              <w:t xml:space="preserve">П-Хмельницький міськрайонний суд </w:t>
            </w:r>
            <w:proofErr w:type="spellStart"/>
            <w:r w:rsidRPr="00AA12A9">
              <w:rPr>
                <w:rFonts w:ascii="Times New Roman" w:eastAsia="Times New Roman" w:hAnsi="Times New Roman" w:cs="Times New Roman"/>
                <w:color w:val="auto"/>
                <w:lang w:eastAsia="ru-RU" w:bidi="ar-SA"/>
              </w:rPr>
              <w:t>м.Переяслав</w:t>
            </w:r>
            <w:proofErr w:type="spellEnd"/>
            <w:r w:rsidRPr="00AA12A9">
              <w:rPr>
                <w:rFonts w:ascii="Times New Roman" w:eastAsia="Times New Roman" w:hAnsi="Times New Roman" w:cs="Times New Roman"/>
                <w:color w:val="auto"/>
                <w:lang w:eastAsia="ru-RU" w:bidi="ar-SA"/>
              </w:rPr>
              <w:t>-Хмельницький</w:t>
            </w:r>
          </w:p>
        </w:tc>
      </w:tr>
    </w:tbl>
    <w:p w:rsidR="00AA12A9" w:rsidRPr="00AA12A9" w:rsidRDefault="00AA12A9" w:rsidP="00AA12A9">
      <w:pPr>
        <w:widowControl/>
        <w:spacing w:after="160" w:line="259" w:lineRule="auto"/>
        <w:rPr>
          <w:rFonts w:ascii="Times New Roman" w:eastAsia="Calibri" w:hAnsi="Times New Roman" w:cs="Times New Roman"/>
          <w:b/>
          <w:color w:val="auto"/>
          <w:lang w:eastAsia="en-US" w:bidi="ar-SA"/>
        </w:rPr>
      </w:pPr>
    </w:p>
    <w:p w:rsidR="000B64BD" w:rsidRPr="0088191F" w:rsidRDefault="000B64BD" w:rsidP="000B64BD">
      <w:pPr>
        <w:widowControl/>
        <w:tabs>
          <w:tab w:val="left" w:pos="1134"/>
        </w:tabs>
        <w:suppressAutoHyphens/>
        <w:ind w:leftChars="-1" w:hangingChars="1" w:hanging="2"/>
        <w:jc w:val="both"/>
        <w:textAlignment w:val="top"/>
        <w:outlineLvl w:val="0"/>
        <w:rPr>
          <w:rFonts w:ascii="Times New Roman" w:eastAsia="Times New Roman" w:hAnsi="Times New Roman" w:cs="Times New Roman"/>
          <w:position w:val="-1"/>
          <w:sz w:val="20"/>
          <w:szCs w:val="20"/>
          <w:lang w:eastAsia="ru-RU" w:bidi="ar-SA"/>
        </w:rPr>
      </w:pPr>
    </w:p>
    <w:sectPr w:rsidR="000B64BD" w:rsidRPr="008819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w:altName w:val="Times New Roman"/>
    <w:charset w:val="00"/>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nsid w:val="20A4728C"/>
    <w:multiLevelType w:val="multilevel"/>
    <w:tmpl w:val="6B4EF8AC"/>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11">
    <w:nsid w:val="50F502E6"/>
    <w:multiLevelType w:val="multilevel"/>
    <w:tmpl w:val="E6562A78"/>
    <w:lvl w:ilvl="0">
      <w:start w:val="3650"/>
      <w:numFmt w:val="bullet"/>
      <w:lvlText w:val="-"/>
      <w:lvlJc w:val="left"/>
      <w:pPr>
        <w:ind w:left="1760" w:hanging="360"/>
      </w:pPr>
      <w:rPr>
        <w:rFonts w:ascii="Times New Roman" w:eastAsia="Times New Roman" w:hAnsi="Times New Roman" w:cs="Times New Roman"/>
        <w:vertAlign w:val="baseline"/>
      </w:rPr>
    </w:lvl>
    <w:lvl w:ilvl="1">
      <w:start w:val="1"/>
      <w:numFmt w:val="bullet"/>
      <w:lvlText w:val="o"/>
      <w:lvlJc w:val="left"/>
      <w:pPr>
        <w:ind w:left="2480" w:hanging="360"/>
      </w:pPr>
      <w:rPr>
        <w:rFonts w:ascii="Courier New" w:eastAsia="Courier New" w:hAnsi="Courier New" w:cs="Courier New"/>
        <w:vertAlign w:val="baseline"/>
      </w:rPr>
    </w:lvl>
    <w:lvl w:ilvl="2">
      <w:start w:val="1"/>
      <w:numFmt w:val="bullet"/>
      <w:lvlText w:val="▪"/>
      <w:lvlJc w:val="left"/>
      <w:pPr>
        <w:ind w:left="3200" w:hanging="360"/>
      </w:pPr>
      <w:rPr>
        <w:rFonts w:ascii="Noto Sans Symbols" w:eastAsia="Noto Sans Symbols" w:hAnsi="Noto Sans Symbols" w:cs="Noto Sans Symbols"/>
        <w:vertAlign w:val="baseline"/>
      </w:rPr>
    </w:lvl>
    <w:lvl w:ilvl="3">
      <w:start w:val="1"/>
      <w:numFmt w:val="bullet"/>
      <w:lvlText w:val="●"/>
      <w:lvlJc w:val="left"/>
      <w:pPr>
        <w:ind w:left="3920" w:hanging="360"/>
      </w:pPr>
      <w:rPr>
        <w:rFonts w:ascii="Noto Sans Symbols" w:eastAsia="Noto Sans Symbols" w:hAnsi="Noto Sans Symbols" w:cs="Noto Sans Symbols"/>
        <w:vertAlign w:val="baseline"/>
      </w:rPr>
    </w:lvl>
    <w:lvl w:ilvl="4">
      <w:start w:val="1"/>
      <w:numFmt w:val="bullet"/>
      <w:lvlText w:val="o"/>
      <w:lvlJc w:val="left"/>
      <w:pPr>
        <w:ind w:left="4640" w:hanging="360"/>
      </w:pPr>
      <w:rPr>
        <w:rFonts w:ascii="Courier New" w:eastAsia="Courier New" w:hAnsi="Courier New" w:cs="Courier New"/>
        <w:vertAlign w:val="baseline"/>
      </w:rPr>
    </w:lvl>
    <w:lvl w:ilvl="5">
      <w:start w:val="1"/>
      <w:numFmt w:val="bullet"/>
      <w:lvlText w:val="▪"/>
      <w:lvlJc w:val="left"/>
      <w:pPr>
        <w:ind w:left="5360" w:hanging="360"/>
      </w:pPr>
      <w:rPr>
        <w:rFonts w:ascii="Noto Sans Symbols" w:eastAsia="Noto Sans Symbols" w:hAnsi="Noto Sans Symbols" w:cs="Noto Sans Symbols"/>
        <w:vertAlign w:val="baseline"/>
      </w:rPr>
    </w:lvl>
    <w:lvl w:ilvl="6">
      <w:start w:val="1"/>
      <w:numFmt w:val="bullet"/>
      <w:lvlText w:val="●"/>
      <w:lvlJc w:val="left"/>
      <w:pPr>
        <w:ind w:left="6080" w:hanging="360"/>
      </w:pPr>
      <w:rPr>
        <w:rFonts w:ascii="Noto Sans Symbols" w:eastAsia="Noto Sans Symbols" w:hAnsi="Noto Sans Symbols" w:cs="Noto Sans Symbols"/>
        <w:vertAlign w:val="baseline"/>
      </w:rPr>
    </w:lvl>
    <w:lvl w:ilvl="7">
      <w:start w:val="1"/>
      <w:numFmt w:val="bullet"/>
      <w:lvlText w:val="o"/>
      <w:lvlJc w:val="left"/>
      <w:pPr>
        <w:ind w:left="6800" w:hanging="360"/>
      </w:pPr>
      <w:rPr>
        <w:rFonts w:ascii="Courier New" w:eastAsia="Courier New" w:hAnsi="Courier New" w:cs="Courier New"/>
        <w:vertAlign w:val="baseline"/>
      </w:rPr>
    </w:lvl>
    <w:lvl w:ilvl="8">
      <w:start w:val="1"/>
      <w:numFmt w:val="bullet"/>
      <w:lvlText w:val="▪"/>
      <w:lvlJc w:val="left"/>
      <w:pPr>
        <w:ind w:left="7520" w:hanging="360"/>
      </w:pPr>
      <w:rPr>
        <w:rFonts w:ascii="Noto Sans Symbols" w:eastAsia="Noto Sans Symbols" w:hAnsi="Noto Sans Symbols" w:cs="Noto Sans Symbols"/>
        <w:vertAlign w:val="baseline"/>
      </w:rPr>
    </w:lvl>
  </w:abstractNum>
  <w:abstractNum w:abstractNumId="12">
    <w:nsid w:val="60DE6B80"/>
    <w:multiLevelType w:val="hybridMultilevel"/>
    <w:tmpl w:val="C3948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2"/>
  </w:num>
  <w:num w:numId="6">
    <w:abstractNumId w:val="3"/>
  </w:num>
  <w:num w:numId="7">
    <w:abstractNumId w:val="0"/>
  </w:num>
  <w:num w:numId="8">
    <w:abstractNumId w:val="10"/>
  </w:num>
  <w:num w:numId="9">
    <w:abstractNumId w:val="6"/>
  </w:num>
  <w:num w:numId="10">
    <w:abstractNumId w:val="9"/>
  </w:num>
  <w:num w:numId="11">
    <w:abstractNumId w:val="4"/>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B64BD"/>
    <w:rsid w:val="002253C4"/>
    <w:rsid w:val="00276A1C"/>
    <w:rsid w:val="002D303B"/>
    <w:rsid w:val="004B163E"/>
    <w:rsid w:val="007A28B4"/>
    <w:rsid w:val="0088191F"/>
    <w:rsid w:val="009B6BC4"/>
    <w:rsid w:val="00AA12A9"/>
    <w:rsid w:val="00AB0A48"/>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Voitenko1</cp:lastModifiedBy>
  <cp:revision>8</cp:revision>
  <dcterms:created xsi:type="dcterms:W3CDTF">2023-09-05T12:40:00Z</dcterms:created>
  <dcterms:modified xsi:type="dcterms:W3CDTF">2023-10-24T21:25:00Z</dcterms:modified>
</cp:coreProperties>
</file>